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51" w:rsidRPr="005B1551" w:rsidRDefault="005B1551" w:rsidP="005B1551">
      <w:pPr>
        <w:spacing w:before="100" w:beforeAutospacing="1" w:after="100" w:afterAutospacing="1"/>
        <w:rPr>
          <w:snapToGrid/>
          <w:szCs w:val="24"/>
        </w:rPr>
      </w:pPr>
      <w:r w:rsidRPr="005B1551">
        <w:rPr>
          <w:rFonts w:ascii="Arial" w:hAnsi="Arial" w:cs="Arial"/>
          <w:snapToGrid/>
          <w:szCs w:val="24"/>
        </w:rPr>
        <w:br/>
      </w:r>
      <w:r w:rsidRPr="005B1551">
        <w:rPr>
          <w:rFonts w:ascii="Arial" w:hAnsi="Arial" w:cs="Arial"/>
          <w:b/>
          <w:snapToGrid/>
          <w:sz w:val="27"/>
          <w:szCs w:val="27"/>
        </w:rPr>
        <w:t>ABET Outcome Survey</w:t>
      </w:r>
      <w:r w:rsidRPr="005B1551">
        <w:rPr>
          <w:rFonts w:ascii="Arial" w:hAnsi="Arial" w:cs="Arial"/>
          <w:snapToGrid/>
          <w:szCs w:val="24"/>
        </w:rPr>
        <w:br/>
      </w:r>
      <w:r w:rsidR="006E785B">
        <w:rPr>
          <w:rFonts w:ascii="Arial" w:hAnsi="Arial" w:cs="Arial"/>
          <w:snapToGrid/>
          <w:szCs w:val="24"/>
        </w:rPr>
        <w:t xml:space="preserve">Important Note:  </w:t>
      </w:r>
      <w:r w:rsidRPr="005B1551">
        <w:rPr>
          <w:rFonts w:ascii="Arial" w:hAnsi="Arial" w:cs="Arial"/>
          <w:snapToGrid/>
          <w:szCs w:val="24"/>
        </w:rPr>
        <w:t xml:space="preserve">These outcomes reflect a personal </w:t>
      </w:r>
      <w:r w:rsidR="006E785B">
        <w:rPr>
          <w:rFonts w:ascii="Arial" w:hAnsi="Arial" w:cs="Arial"/>
          <w:snapToGrid/>
          <w:szCs w:val="24"/>
        </w:rPr>
        <w:t xml:space="preserve">(student) </w:t>
      </w:r>
      <w:r w:rsidRPr="005B1551">
        <w:rPr>
          <w:rFonts w:ascii="Arial" w:hAnsi="Arial" w:cs="Arial"/>
          <w:snapToGrid/>
          <w:szCs w:val="24"/>
        </w:rPr>
        <w:t>assessment of the course, not the instructor's assessment.</w:t>
      </w:r>
      <w:bookmarkStart w:id="0" w:name="_GoBack"/>
      <w:bookmarkEnd w:id="0"/>
    </w:p>
    <w:tbl>
      <w:tblPr>
        <w:tblW w:w="0" w:type="auto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C0C0C0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2879"/>
        <w:gridCol w:w="1261"/>
        <w:gridCol w:w="1516"/>
        <w:gridCol w:w="1516"/>
        <w:gridCol w:w="1516"/>
      </w:tblGrid>
      <w:tr w:rsidR="005B1551" w:rsidRPr="005B1551">
        <w:tc>
          <w:tcPr>
            <w:tcW w:w="4800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 w:val="27"/>
                <w:szCs w:val="27"/>
              </w:rPr>
              <w:t>ABET Outcomes</w:t>
            </w:r>
          </w:p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 w:val="27"/>
                <w:szCs w:val="27"/>
              </w:rPr>
              <w:t>for AE 481W/482</w:t>
            </w:r>
          </w:p>
        </w:tc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5B1551" w:rsidRPr="005B1551" w:rsidRDefault="005B1551" w:rsidP="005B1551">
            <w:pPr>
              <w:spacing w:before="100" w:beforeAutospacing="1" w:after="100" w:afterAutospacing="1"/>
              <w:jc w:val="center"/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Outcome not able to be assessed</w:t>
            </w:r>
          </w:p>
        </w:tc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5B1551" w:rsidRPr="005B1551" w:rsidRDefault="005B1551" w:rsidP="005B1551">
            <w:pPr>
              <w:spacing w:before="100" w:beforeAutospacing="1" w:after="100" w:afterAutospacing="1"/>
              <w:jc w:val="center"/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Level of ability demonstrated but below acceptable</w:t>
            </w:r>
          </w:p>
        </w:tc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5B1551" w:rsidRPr="005B1551" w:rsidRDefault="005B1551" w:rsidP="005B1551">
            <w:pPr>
              <w:spacing w:before="100" w:beforeAutospacing="1" w:after="100" w:afterAutospacing="1"/>
              <w:jc w:val="center"/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Minimum acceptable level of ability demonstrated</w:t>
            </w:r>
          </w:p>
        </w:tc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5B1551" w:rsidRPr="005B1551" w:rsidRDefault="005B1551" w:rsidP="005B1551">
            <w:pPr>
              <w:spacing w:before="100" w:beforeAutospacing="1" w:after="100" w:afterAutospacing="1"/>
              <w:jc w:val="center"/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More than minimum level of ability demonstrated</w:t>
            </w:r>
          </w:p>
        </w:tc>
      </w:tr>
      <w:tr w:rsidR="005B1551" w:rsidRPr="005B155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i/>
                <w:snapToGrid/>
                <w:szCs w:val="24"/>
              </w:rPr>
              <w:t>(Score of 0)</w:t>
            </w:r>
          </w:p>
        </w:tc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 w:val="4"/>
                <w:szCs w:val="4"/>
              </w:rPr>
              <w:t> </w:t>
            </w:r>
            <w:r w:rsidRPr="005B1551">
              <w:rPr>
                <w:rFonts w:ascii="Arial" w:hAnsi="Arial" w:cs="Arial"/>
                <w:i/>
                <w:snapToGrid/>
                <w:szCs w:val="24"/>
              </w:rPr>
              <w:t>(Score of 1)</w:t>
            </w:r>
          </w:p>
        </w:tc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i/>
                <w:snapToGrid/>
                <w:szCs w:val="24"/>
              </w:rPr>
              <w:t>(Score of 2)</w:t>
            </w:r>
          </w:p>
        </w:tc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i/>
                <w:snapToGrid/>
                <w:szCs w:val="24"/>
              </w:rPr>
              <w:t>(Score of 3)</w:t>
            </w:r>
          </w:p>
        </w:tc>
      </w:tr>
    </w:tbl>
    <w:p w:rsidR="005B1551" w:rsidRPr="005B1551" w:rsidRDefault="005B1551" w:rsidP="005B1551">
      <w:pPr>
        <w:rPr>
          <w:snapToGrid/>
          <w:vanish/>
          <w:szCs w:val="24"/>
        </w:rPr>
      </w:pP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2904"/>
        <w:gridCol w:w="1260"/>
        <w:gridCol w:w="1440"/>
        <w:gridCol w:w="1575"/>
        <w:gridCol w:w="1509"/>
      </w:tblGrid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a. An ability to apply knowledge of mathematics, science, and engineering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FC1673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</w:tr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b. An ability to analyze and interpret data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FC1673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</w:tr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c. An ability to design a system, component, or process to meet desired needs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FC1673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</w:tr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e. An ability to identify, formulate, and solve engineering problems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</w:tr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f. An understanding of professional and ethical responsibility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FC1673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</w:tr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g. An ability to communicate effectively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</w:tr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h. The broad education necessary to understand the impact of engineering solutions in a global and societal context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FC1673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</w:tr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proofErr w:type="spellStart"/>
            <w:r w:rsidRPr="005B1551">
              <w:rPr>
                <w:rFonts w:ascii="Arial" w:hAnsi="Arial" w:cs="Arial"/>
                <w:snapToGrid/>
                <w:szCs w:val="24"/>
              </w:rPr>
              <w:t>i</w:t>
            </w:r>
            <w:proofErr w:type="spellEnd"/>
            <w:r w:rsidRPr="005B1551">
              <w:rPr>
                <w:rFonts w:ascii="Arial" w:hAnsi="Arial" w:cs="Arial"/>
                <w:snapToGrid/>
                <w:szCs w:val="24"/>
              </w:rPr>
              <w:t>. An ability to engage in life-long learning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</w:tr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j. A knowledge of contemporary issues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</w:tr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 xml:space="preserve">k. An ability to use the techniques, skills, and modern engineering tools necessary for engineering </w:t>
            </w:r>
            <w:r w:rsidRPr="005B1551">
              <w:rPr>
                <w:rFonts w:ascii="Arial" w:hAnsi="Arial" w:cs="Arial"/>
                <w:snapToGrid/>
                <w:szCs w:val="24"/>
              </w:rPr>
              <w:lastRenderedPageBreak/>
              <w:t>practice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lastRenderedPageBreak/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FC1673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</w:tr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lastRenderedPageBreak/>
              <w:t>o. Engineering design capabilities in at least two (2) of the (3) basic curriculum areas of architectural engineering, and that design has been integrated across the breadth of the program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</w:tr>
      <w:tr w:rsidR="005B1551" w:rsidRPr="005B1551" w:rsidTr="00706C1D">
        <w:tc>
          <w:tcPr>
            <w:tcW w:w="29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rPr>
                <w:snapToGrid/>
                <w:szCs w:val="24"/>
              </w:rPr>
            </w:pPr>
            <w:r w:rsidRPr="005B1551">
              <w:rPr>
                <w:rFonts w:ascii="Arial" w:hAnsi="Arial" w:cs="Arial"/>
                <w:snapToGrid/>
                <w:szCs w:val="24"/>
              </w:rPr>
              <w:t>p. Communication and interaction with other design professionals in the execution of building projects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  <w:tc>
          <w:tcPr>
            <w:tcW w:w="1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FD3B95" w:rsidP="005B1551">
            <w:pPr>
              <w:jc w:val="center"/>
              <w:rPr>
                <w:snapToGrid/>
                <w:szCs w:val="24"/>
              </w:rPr>
            </w:pPr>
            <w:r>
              <w:rPr>
                <w:snapToGrid/>
                <w:sz w:val="40"/>
                <w:szCs w:val="40"/>
              </w:rPr>
              <w:t>X</w:t>
            </w:r>
          </w:p>
        </w:tc>
        <w:tc>
          <w:tcPr>
            <w:tcW w:w="15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:rsidR="005B1551" w:rsidRPr="005B1551" w:rsidRDefault="005B1551" w:rsidP="005B1551">
            <w:pPr>
              <w:jc w:val="center"/>
              <w:rPr>
                <w:snapToGrid/>
                <w:szCs w:val="24"/>
              </w:rPr>
            </w:pPr>
            <w:r w:rsidRPr="005B1551">
              <w:rPr>
                <w:snapToGrid/>
                <w:sz w:val="40"/>
                <w:szCs w:val="40"/>
              </w:rPr>
              <w:sym w:font="Wingdings 2" w:char="0035"/>
            </w:r>
          </w:p>
        </w:tc>
      </w:tr>
    </w:tbl>
    <w:p w:rsidR="00A63A18" w:rsidRPr="006E785B" w:rsidRDefault="00A63A18">
      <w:pPr>
        <w:rPr>
          <w:snapToGrid/>
          <w:szCs w:val="24"/>
        </w:rPr>
      </w:pPr>
    </w:p>
    <w:sectPr w:rsidR="00A63A18" w:rsidRPr="006E78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B1551"/>
    <w:rsid w:val="00007CD9"/>
    <w:rsid w:val="00014B68"/>
    <w:rsid w:val="00014FA3"/>
    <w:rsid w:val="00017490"/>
    <w:rsid w:val="00020821"/>
    <w:rsid w:val="00046E55"/>
    <w:rsid w:val="000535BD"/>
    <w:rsid w:val="0006142E"/>
    <w:rsid w:val="00063BAD"/>
    <w:rsid w:val="000A5168"/>
    <w:rsid w:val="000B423B"/>
    <w:rsid w:val="000B6FEA"/>
    <w:rsid w:val="000E5E1E"/>
    <w:rsid w:val="000F4781"/>
    <w:rsid w:val="00100D46"/>
    <w:rsid w:val="0011150A"/>
    <w:rsid w:val="00112F3C"/>
    <w:rsid w:val="001327C2"/>
    <w:rsid w:val="00145BDB"/>
    <w:rsid w:val="00151AD9"/>
    <w:rsid w:val="00155D32"/>
    <w:rsid w:val="00174482"/>
    <w:rsid w:val="001824FE"/>
    <w:rsid w:val="001849B4"/>
    <w:rsid w:val="001873BE"/>
    <w:rsid w:val="0019157D"/>
    <w:rsid w:val="001A0868"/>
    <w:rsid w:val="001A100F"/>
    <w:rsid w:val="001C5EDB"/>
    <w:rsid w:val="001E3413"/>
    <w:rsid w:val="001E53F6"/>
    <w:rsid w:val="001F0851"/>
    <w:rsid w:val="001F4DDF"/>
    <w:rsid w:val="002020B5"/>
    <w:rsid w:val="002178CA"/>
    <w:rsid w:val="00221FCE"/>
    <w:rsid w:val="002305C7"/>
    <w:rsid w:val="00241089"/>
    <w:rsid w:val="0025103B"/>
    <w:rsid w:val="002860B6"/>
    <w:rsid w:val="0029278E"/>
    <w:rsid w:val="002A57B9"/>
    <w:rsid w:val="002A5F10"/>
    <w:rsid w:val="002D3D8E"/>
    <w:rsid w:val="002D782C"/>
    <w:rsid w:val="002F7380"/>
    <w:rsid w:val="002F7827"/>
    <w:rsid w:val="00301205"/>
    <w:rsid w:val="0031620E"/>
    <w:rsid w:val="00331C4B"/>
    <w:rsid w:val="00334B22"/>
    <w:rsid w:val="0034241C"/>
    <w:rsid w:val="00343112"/>
    <w:rsid w:val="00351430"/>
    <w:rsid w:val="00355493"/>
    <w:rsid w:val="00356065"/>
    <w:rsid w:val="0036414D"/>
    <w:rsid w:val="0038268E"/>
    <w:rsid w:val="0038300F"/>
    <w:rsid w:val="003843A6"/>
    <w:rsid w:val="003A017F"/>
    <w:rsid w:val="003A379F"/>
    <w:rsid w:val="003B66AD"/>
    <w:rsid w:val="003B6C74"/>
    <w:rsid w:val="003B7230"/>
    <w:rsid w:val="003C1405"/>
    <w:rsid w:val="003C5146"/>
    <w:rsid w:val="003C6166"/>
    <w:rsid w:val="003D04E9"/>
    <w:rsid w:val="003D584C"/>
    <w:rsid w:val="003F17C9"/>
    <w:rsid w:val="00430AC0"/>
    <w:rsid w:val="00441728"/>
    <w:rsid w:val="004422ED"/>
    <w:rsid w:val="004577B4"/>
    <w:rsid w:val="00466266"/>
    <w:rsid w:val="004733CA"/>
    <w:rsid w:val="00485207"/>
    <w:rsid w:val="00486B2D"/>
    <w:rsid w:val="004B5AC6"/>
    <w:rsid w:val="004B6DF2"/>
    <w:rsid w:val="004B74AC"/>
    <w:rsid w:val="004D0CC5"/>
    <w:rsid w:val="004D6C9B"/>
    <w:rsid w:val="004E2FF3"/>
    <w:rsid w:val="004E3A4D"/>
    <w:rsid w:val="004E5044"/>
    <w:rsid w:val="004E6AAD"/>
    <w:rsid w:val="004F05B6"/>
    <w:rsid w:val="005025CB"/>
    <w:rsid w:val="00515107"/>
    <w:rsid w:val="00516458"/>
    <w:rsid w:val="00523C33"/>
    <w:rsid w:val="00535B85"/>
    <w:rsid w:val="00544DC9"/>
    <w:rsid w:val="00547A8E"/>
    <w:rsid w:val="00550D85"/>
    <w:rsid w:val="00554D62"/>
    <w:rsid w:val="00572796"/>
    <w:rsid w:val="005754DD"/>
    <w:rsid w:val="00591565"/>
    <w:rsid w:val="00593A2A"/>
    <w:rsid w:val="00594300"/>
    <w:rsid w:val="005A5807"/>
    <w:rsid w:val="005B1551"/>
    <w:rsid w:val="005E1184"/>
    <w:rsid w:val="00612817"/>
    <w:rsid w:val="00613C15"/>
    <w:rsid w:val="0063375B"/>
    <w:rsid w:val="006373E7"/>
    <w:rsid w:val="00664D43"/>
    <w:rsid w:val="006719DA"/>
    <w:rsid w:val="0067708D"/>
    <w:rsid w:val="00681F3D"/>
    <w:rsid w:val="00684A7F"/>
    <w:rsid w:val="00693522"/>
    <w:rsid w:val="00696FB6"/>
    <w:rsid w:val="006A33A5"/>
    <w:rsid w:val="006A4AF4"/>
    <w:rsid w:val="006A6A89"/>
    <w:rsid w:val="006B5A0F"/>
    <w:rsid w:val="006C4708"/>
    <w:rsid w:val="006E1EF1"/>
    <w:rsid w:val="006E5417"/>
    <w:rsid w:val="006E785B"/>
    <w:rsid w:val="006F2B60"/>
    <w:rsid w:val="006F3AED"/>
    <w:rsid w:val="007062D6"/>
    <w:rsid w:val="00706C1D"/>
    <w:rsid w:val="00713D6D"/>
    <w:rsid w:val="00731DA9"/>
    <w:rsid w:val="00732B8D"/>
    <w:rsid w:val="00734D75"/>
    <w:rsid w:val="00745438"/>
    <w:rsid w:val="00773FD4"/>
    <w:rsid w:val="00780C9A"/>
    <w:rsid w:val="00782658"/>
    <w:rsid w:val="0078332D"/>
    <w:rsid w:val="00795675"/>
    <w:rsid w:val="007A7EDF"/>
    <w:rsid w:val="007B0FA0"/>
    <w:rsid w:val="007B2950"/>
    <w:rsid w:val="007B34AB"/>
    <w:rsid w:val="007C464C"/>
    <w:rsid w:val="007C5762"/>
    <w:rsid w:val="007C59A4"/>
    <w:rsid w:val="007D7D18"/>
    <w:rsid w:val="007E0A64"/>
    <w:rsid w:val="007E3553"/>
    <w:rsid w:val="00801E36"/>
    <w:rsid w:val="00807BA6"/>
    <w:rsid w:val="008243CD"/>
    <w:rsid w:val="008265A0"/>
    <w:rsid w:val="008319D0"/>
    <w:rsid w:val="00834D05"/>
    <w:rsid w:val="008453C2"/>
    <w:rsid w:val="00845928"/>
    <w:rsid w:val="00853891"/>
    <w:rsid w:val="00855F8C"/>
    <w:rsid w:val="0086731E"/>
    <w:rsid w:val="008A7F06"/>
    <w:rsid w:val="008B184D"/>
    <w:rsid w:val="008C557B"/>
    <w:rsid w:val="008D7882"/>
    <w:rsid w:val="008E5A91"/>
    <w:rsid w:val="008E68A8"/>
    <w:rsid w:val="00902C07"/>
    <w:rsid w:val="00906E7F"/>
    <w:rsid w:val="00913323"/>
    <w:rsid w:val="0093173B"/>
    <w:rsid w:val="00934263"/>
    <w:rsid w:val="009364E6"/>
    <w:rsid w:val="00941FA0"/>
    <w:rsid w:val="00951B28"/>
    <w:rsid w:val="0095382F"/>
    <w:rsid w:val="00972CFE"/>
    <w:rsid w:val="00977D8E"/>
    <w:rsid w:val="00977EFB"/>
    <w:rsid w:val="00984A7B"/>
    <w:rsid w:val="009857F3"/>
    <w:rsid w:val="0099313A"/>
    <w:rsid w:val="009B5752"/>
    <w:rsid w:val="009B7397"/>
    <w:rsid w:val="009C32E7"/>
    <w:rsid w:val="009C34FB"/>
    <w:rsid w:val="009E48F5"/>
    <w:rsid w:val="009E62C6"/>
    <w:rsid w:val="009E7E02"/>
    <w:rsid w:val="009F0F45"/>
    <w:rsid w:val="009F1FEA"/>
    <w:rsid w:val="00A13C2C"/>
    <w:rsid w:val="00A217A4"/>
    <w:rsid w:val="00A443A1"/>
    <w:rsid w:val="00A450A5"/>
    <w:rsid w:val="00A5218B"/>
    <w:rsid w:val="00A5654F"/>
    <w:rsid w:val="00A63A18"/>
    <w:rsid w:val="00A66814"/>
    <w:rsid w:val="00A66B0B"/>
    <w:rsid w:val="00A7179E"/>
    <w:rsid w:val="00A72FD0"/>
    <w:rsid w:val="00A87D11"/>
    <w:rsid w:val="00A943BC"/>
    <w:rsid w:val="00AA05AF"/>
    <w:rsid w:val="00AA301A"/>
    <w:rsid w:val="00AA644F"/>
    <w:rsid w:val="00AC3077"/>
    <w:rsid w:val="00AC31CE"/>
    <w:rsid w:val="00AC39AA"/>
    <w:rsid w:val="00AC6EF2"/>
    <w:rsid w:val="00AE28ED"/>
    <w:rsid w:val="00AF5140"/>
    <w:rsid w:val="00B047CF"/>
    <w:rsid w:val="00B10334"/>
    <w:rsid w:val="00B21118"/>
    <w:rsid w:val="00B305EF"/>
    <w:rsid w:val="00B53E1A"/>
    <w:rsid w:val="00B604DE"/>
    <w:rsid w:val="00B622AC"/>
    <w:rsid w:val="00B63A66"/>
    <w:rsid w:val="00B70AD9"/>
    <w:rsid w:val="00B844DD"/>
    <w:rsid w:val="00B926A0"/>
    <w:rsid w:val="00BA36F3"/>
    <w:rsid w:val="00BB190D"/>
    <w:rsid w:val="00BB3FB0"/>
    <w:rsid w:val="00BC302D"/>
    <w:rsid w:val="00BC32B1"/>
    <w:rsid w:val="00BE5191"/>
    <w:rsid w:val="00BF047B"/>
    <w:rsid w:val="00BF573F"/>
    <w:rsid w:val="00C017A7"/>
    <w:rsid w:val="00C070A3"/>
    <w:rsid w:val="00C20905"/>
    <w:rsid w:val="00C308CD"/>
    <w:rsid w:val="00C42E8E"/>
    <w:rsid w:val="00C47825"/>
    <w:rsid w:val="00C47C3F"/>
    <w:rsid w:val="00C56F76"/>
    <w:rsid w:val="00C60AF2"/>
    <w:rsid w:val="00C66953"/>
    <w:rsid w:val="00C778F6"/>
    <w:rsid w:val="00C8111F"/>
    <w:rsid w:val="00C840DF"/>
    <w:rsid w:val="00C94E8C"/>
    <w:rsid w:val="00CA1E80"/>
    <w:rsid w:val="00CA47D1"/>
    <w:rsid w:val="00CB77D3"/>
    <w:rsid w:val="00CB787E"/>
    <w:rsid w:val="00CD10DC"/>
    <w:rsid w:val="00CD6DA5"/>
    <w:rsid w:val="00CF31AB"/>
    <w:rsid w:val="00D0492C"/>
    <w:rsid w:val="00D05CFD"/>
    <w:rsid w:val="00D21921"/>
    <w:rsid w:val="00D24A31"/>
    <w:rsid w:val="00D35D78"/>
    <w:rsid w:val="00D54CD4"/>
    <w:rsid w:val="00D57C1E"/>
    <w:rsid w:val="00D57ECE"/>
    <w:rsid w:val="00D66BF1"/>
    <w:rsid w:val="00D87C28"/>
    <w:rsid w:val="00D92918"/>
    <w:rsid w:val="00D95565"/>
    <w:rsid w:val="00DA4376"/>
    <w:rsid w:val="00DE124A"/>
    <w:rsid w:val="00DE5DF6"/>
    <w:rsid w:val="00DE63E7"/>
    <w:rsid w:val="00DE7B20"/>
    <w:rsid w:val="00DF5DA0"/>
    <w:rsid w:val="00E12A47"/>
    <w:rsid w:val="00E13F13"/>
    <w:rsid w:val="00E1713E"/>
    <w:rsid w:val="00E22D85"/>
    <w:rsid w:val="00E23DCF"/>
    <w:rsid w:val="00E2555A"/>
    <w:rsid w:val="00E27738"/>
    <w:rsid w:val="00E41F7E"/>
    <w:rsid w:val="00E6124F"/>
    <w:rsid w:val="00E63218"/>
    <w:rsid w:val="00E64960"/>
    <w:rsid w:val="00E7781A"/>
    <w:rsid w:val="00E86D1D"/>
    <w:rsid w:val="00E940DC"/>
    <w:rsid w:val="00E97B00"/>
    <w:rsid w:val="00EA0820"/>
    <w:rsid w:val="00EA77A2"/>
    <w:rsid w:val="00ED4306"/>
    <w:rsid w:val="00F015FA"/>
    <w:rsid w:val="00F05C6E"/>
    <w:rsid w:val="00F11CB1"/>
    <w:rsid w:val="00F12366"/>
    <w:rsid w:val="00F5002D"/>
    <w:rsid w:val="00F56D8A"/>
    <w:rsid w:val="00F56FA0"/>
    <w:rsid w:val="00F63FF8"/>
    <w:rsid w:val="00F64FF1"/>
    <w:rsid w:val="00F6521D"/>
    <w:rsid w:val="00FA4BE2"/>
    <w:rsid w:val="00FB2697"/>
    <w:rsid w:val="00FC1673"/>
    <w:rsid w:val="00FD0C19"/>
    <w:rsid w:val="00FD3B95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A100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1A100F"/>
    <w:rPr>
      <w:rFonts w:ascii="Arial" w:hAnsi="Arial" w:cs="Arial"/>
      <w:sz w:val="20"/>
    </w:rPr>
  </w:style>
  <w:style w:type="paragraph" w:styleId="NormalWeb">
    <w:name w:val="Normal (Web)"/>
    <w:basedOn w:val="Normal"/>
    <w:rsid w:val="005B1551"/>
    <w:pPr>
      <w:spacing w:before="100" w:beforeAutospacing="1" w:after="100" w:afterAutospacing="1"/>
    </w:pPr>
    <w:rPr>
      <w:snapToGrid/>
      <w:szCs w:val="24"/>
    </w:rPr>
  </w:style>
  <w:style w:type="character" w:customStyle="1" w:styleId="spelle">
    <w:name w:val="spelle"/>
    <w:basedOn w:val="DefaultParagraphFont"/>
    <w:rsid w:val="005B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PSUAE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 Broskey</dc:creator>
  <cp:lastModifiedBy>Julia A Broskey</cp:lastModifiedBy>
  <cp:revision>4</cp:revision>
  <dcterms:created xsi:type="dcterms:W3CDTF">2012-04-16T15:44:00Z</dcterms:created>
  <dcterms:modified xsi:type="dcterms:W3CDTF">2012-04-26T19:54:00Z</dcterms:modified>
</cp:coreProperties>
</file>